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35A6C" w14:textId="77777777" w:rsidR="0011642C" w:rsidRPr="00F31201" w:rsidRDefault="005550D3" w:rsidP="00615AB8">
      <w:pPr>
        <w:spacing w:after="0" w:line="240" w:lineRule="auto"/>
        <w:rPr>
          <w:rFonts w:ascii="Arial" w:eastAsia="Arial" w:hAnsi="Arial" w:cs="Arial"/>
          <w:b/>
          <w:sz w:val="20"/>
          <w:szCs w:val="20"/>
        </w:rPr>
      </w:pPr>
      <w:r w:rsidRPr="00F31201">
        <w:rPr>
          <w:rFonts w:ascii="Arial" w:hAnsi="Arial"/>
          <w:b/>
          <w:sz w:val="20"/>
        </w:rPr>
        <w:t xml:space="preserve">009 </w:t>
      </w:r>
      <w:proofErr w:type="gramStart"/>
      <w:r w:rsidRPr="00F31201">
        <w:rPr>
          <w:rFonts w:ascii="Arial" w:hAnsi="Arial"/>
          <w:b/>
          <w:sz w:val="20"/>
        </w:rPr>
        <w:t>Protección</w:t>
      </w:r>
      <w:proofErr w:type="gramEnd"/>
      <w:r w:rsidRPr="00F31201">
        <w:rPr>
          <w:rFonts w:ascii="Arial" w:hAnsi="Arial"/>
          <w:b/>
          <w:sz w:val="20"/>
        </w:rPr>
        <w:t xml:space="preserve"> de los biomas y los ecosistemas amenazados por la conversión de la vegetación nativa</w:t>
      </w:r>
    </w:p>
    <w:p w14:paraId="6B70A2DF" w14:textId="77777777" w:rsidR="00615AB8" w:rsidRPr="00B47483" w:rsidRDefault="00615AB8" w:rsidP="00615AB8">
      <w:pPr>
        <w:spacing w:after="0" w:line="240" w:lineRule="auto"/>
        <w:rPr>
          <w:rFonts w:ascii="Arial" w:eastAsia="Arial" w:hAnsi="Arial" w:cs="Arial"/>
          <w:bCs/>
          <w:sz w:val="20"/>
          <w:szCs w:val="20"/>
        </w:rPr>
      </w:pPr>
    </w:p>
    <w:p w14:paraId="5B252358" w14:textId="77777777" w:rsidR="007D367B" w:rsidRPr="00B47483" w:rsidRDefault="0BADC3BC" w:rsidP="00615AB8">
      <w:pPr>
        <w:spacing w:after="0" w:line="240" w:lineRule="auto"/>
        <w:rPr>
          <w:rFonts w:ascii="Arial" w:eastAsia="Arial" w:hAnsi="Arial" w:cs="Arial"/>
          <w:bCs/>
          <w:sz w:val="20"/>
          <w:szCs w:val="20"/>
        </w:rPr>
      </w:pPr>
      <w:r w:rsidRPr="00B47483">
        <w:rPr>
          <w:rFonts w:ascii="Arial" w:hAnsi="Arial"/>
          <w:bCs/>
          <w:sz w:val="20"/>
        </w:rPr>
        <w:t>CONSIDERANDO que los biomas del Cerrado brasileño, las pampas, el Chaco Húmedo, Orinoquía, Pantanal y el Miombo africano están entre los más biodiversos y desempeñan un papel crucial a la hora de proporcionar servicios esenciales para los ecosistemas, como la regulación del clima, el abastecimiento de agua y la seguridad alimentaria, y que a pesar de ello se enfrentan a índices alarmantes de conversión de vegetación nativa y de deforestación;</w:t>
      </w:r>
    </w:p>
    <w:p w14:paraId="3AC9DB2F" w14:textId="77777777" w:rsidR="007D367B" w:rsidRPr="00B47483" w:rsidRDefault="007D367B" w:rsidP="00615AB8">
      <w:pPr>
        <w:spacing w:after="0" w:line="240" w:lineRule="auto"/>
        <w:rPr>
          <w:rFonts w:ascii="Arial" w:eastAsia="Arial" w:hAnsi="Arial" w:cs="Arial"/>
          <w:bCs/>
          <w:sz w:val="20"/>
          <w:szCs w:val="20"/>
        </w:rPr>
      </w:pPr>
    </w:p>
    <w:p w14:paraId="6CEA6959" w14:textId="77777777" w:rsidR="007D367B" w:rsidRPr="00B47483" w:rsidRDefault="0BADC3BC" w:rsidP="00615AB8">
      <w:pPr>
        <w:spacing w:after="0" w:line="240" w:lineRule="auto"/>
        <w:rPr>
          <w:rFonts w:ascii="Arial" w:eastAsia="Arial" w:hAnsi="Arial" w:cs="Arial"/>
          <w:bCs/>
          <w:sz w:val="20"/>
          <w:szCs w:val="20"/>
        </w:rPr>
      </w:pPr>
      <w:r w:rsidRPr="00B47483">
        <w:rPr>
          <w:rFonts w:ascii="Arial" w:hAnsi="Arial"/>
          <w:bCs/>
          <w:sz w:val="20"/>
        </w:rPr>
        <w:t>RECORDANDO la Resoluci</w:t>
      </w:r>
      <w:r w:rsidR="001A7625" w:rsidRPr="00B47483">
        <w:rPr>
          <w:rFonts w:ascii="Arial" w:hAnsi="Arial"/>
          <w:bCs/>
          <w:sz w:val="20"/>
        </w:rPr>
        <w:t>ón</w:t>
      </w:r>
      <w:r w:rsidRPr="00B47483">
        <w:rPr>
          <w:rFonts w:ascii="Arial" w:hAnsi="Arial"/>
          <w:bCs/>
          <w:sz w:val="20"/>
        </w:rPr>
        <w:t xml:space="preserve"> 7.009 </w:t>
      </w:r>
      <w:r w:rsidRPr="00B47483">
        <w:rPr>
          <w:rFonts w:ascii="Arial" w:hAnsi="Arial"/>
          <w:bCs/>
          <w:i/>
          <w:sz w:val="20"/>
        </w:rPr>
        <w:t>Proteger y rehabilitar los ecosistemas de pastizal y sabana amenazados</w:t>
      </w:r>
      <w:r w:rsidRPr="00B47483">
        <w:rPr>
          <w:rFonts w:ascii="Arial" w:hAnsi="Arial"/>
          <w:bCs/>
          <w:sz w:val="20"/>
        </w:rPr>
        <w:t xml:space="preserve"> y </w:t>
      </w:r>
      <w:r w:rsidR="001A7625" w:rsidRPr="00B47483">
        <w:rPr>
          <w:rFonts w:ascii="Arial" w:hAnsi="Arial"/>
          <w:bCs/>
          <w:sz w:val="20"/>
        </w:rPr>
        <w:t>la Resolución</w:t>
      </w:r>
      <w:r w:rsidRPr="00B47483">
        <w:rPr>
          <w:rFonts w:ascii="Arial" w:hAnsi="Arial"/>
          <w:bCs/>
          <w:sz w:val="20"/>
        </w:rPr>
        <w:t xml:space="preserve">7.049 </w:t>
      </w:r>
      <w:r w:rsidRPr="00B47483">
        <w:rPr>
          <w:rFonts w:ascii="Arial" w:hAnsi="Arial"/>
          <w:bCs/>
          <w:i/>
          <w:sz w:val="20"/>
        </w:rPr>
        <w:t>Mayor presencia del Cerrado en la cooperación internacional y en los fondos ambientales mundiales</w:t>
      </w:r>
      <w:r w:rsidRPr="00B47483">
        <w:rPr>
          <w:rFonts w:ascii="Arial" w:hAnsi="Arial"/>
          <w:bCs/>
          <w:sz w:val="20"/>
        </w:rPr>
        <w:t xml:space="preserve"> de la UICN (ambas aprobadas en Marsella, 2020);</w:t>
      </w:r>
    </w:p>
    <w:p w14:paraId="77D85BE9" w14:textId="77777777" w:rsidR="007D367B" w:rsidRPr="00B47483" w:rsidRDefault="007D367B" w:rsidP="00615AB8">
      <w:pPr>
        <w:spacing w:after="0" w:line="240" w:lineRule="auto"/>
        <w:rPr>
          <w:rFonts w:ascii="Arial" w:eastAsia="Arial" w:hAnsi="Arial" w:cs="Arial"/>
          <w:bCs/>
          <w:sz w:val="20"/>
          <w:szCs w:val="20"/>
        </w:rPr>
      </w:pPr>
    </w:p>
    <w:p w14:paraId="424AFF18" w14:textId="77777777" w:rsidR="007D367B" w:rsidRPr="00B47483" w:rsidRDefault="0BADC3BC" w:rsidP="00615AB8">
      <w:pPr>
        <w:spacing w:after="0" w:line="240" w:lineRule="auto"/>
        <w:rPr>
          <w:rFonts w:ascii="Arial" w:eastAsia="Arial" w:hAnsi="Arial" w:cs="Arial"/>
          <w:bCs/>
          <w:sz w:val="20"/>
          <w:szCs w:val="20"/>
        </w:rPr>
      </w:pPr>
      <w:r w:rsidRPr="00B47483">
        <w:rPr>
          <w:rFonts w:ascii="Arial" w:hAnsi="Arial"/>
          <w:bCs/>
          <w:sz w:val="20"/>
        </w:rPr>
        <w:t>RECONOCIENDO que, si bien se han registrado avances en la protección de los ecosistemas forestales por medio de instrumentos jurídicos (como el Reglamento de la Unión Europea contra la deforestación), su ámbito de aplicación actual no garantiza explícitamente la protección de importantes formaciones como las sabanas, los pastizales y otras áreas no forestales, que actualmente no están suficientemente contempladas en las legislaciones nacionales o regionales, lo que limita su eficacia para prevenir los impactos ambientales y sociales asociados a las cadenas mundiales de productos básicos;</w:t>
      </w:r>
    </w:p>
    <w:p w14:paraId="52290286" w14:textId="77777777" w:rsidR="007D367B" w:rsidRPr="00B47483" w:rsidRDefault="007D367B" w:rsidP="00615AB8">
      <w:pPr>
        <w:spacing w:after="0" w:line="240" w:lineRule="auto"/>
        <w:rPr>
          <w:rFonts w:ascii="Arial" w:eastAsia="Arial" w:hAnsi="Arial" w:cs="Arial"/>
          <w:bCs/>
          <w:sz w:val="20"/>
          <w:szCs w:val="20"/>
        </w:rPr>
      </w:pPr>
    </w:p>
    <w:p w14:paraId="0A52C179" w14:textId="77777777" w:rsidR="007D367B" w:rsidRPr="00B47483" w:rsidRDefault="0BADC3BC" w:rsidP="00615AB8">
      <w:pPr>
        <w:spacing w:after="0" w:line="240" w:lineRule="auto"/>
        <w:rPr>
          <w:rFonts w:ascii="Arial" w:eastAsia="Arial" w:hAnsi="Arial" w:cs="Arial"/>
          <w:bCs/>
          <w:sz w:val="20"/>
          <w:szCs w:val="20"/>
        </w:rPr>
      </w:pPr>
      <w:r w:rsidRPr="00B47483">
        <w:rPr>
          <w:rFonts w:ascii="Arial" w:hAnsi="Arial"/>
          <w:bCs/>
          <w:sz w:val="20"/>
        </w:rPr>
        <w:t>RESALTANDO que la conversión de la vegetación nativa en estos ecosistemas tiene implicaciones graves para la biodiversidad, los derechos humanos y los medios de vida de los pueblos indígenas, las comunidades tradicionales y los pequeños agricultores, que a menudo se ven afectados por el acaparamiento de tierras, la violencia y la exclusión socioeconómica;</w:t>
      </w:r>
    </w:p>
    <w:p w14:paraId="23D4FCED" w14:textId="77777777" w:rsidR="007D367B" w:rsidRPr="00B47483" w:rsidRDefault="007D367B" w:rsidP="00615AB8">
      <w:pPr>
        <w:spacing w:after="0" w:line="240" w:lineRule="auto"/>
        <w:rPr>
          <w:rFonts w:ascii="Arial" w:eastAsia="Arial" w:hAnsi="Arial" w:cs="Arial"/>
          <w:bCs/>
          <w:sz w:val="20"/>
          <w:szCs w:val="20"/>
        </w:rPr>
      </w:pPr>
    </w:p>
    <w:p w14:paraId="3CF7CBE4" w14:textId="77777777" w:rsidR="007D367B" w:rsidRPr="00B47483" w:rsidRDefault="0BADC3BC" w:rsidP="00615AB8">
      <w:pPr>
        <w:spacing w:after="0" w:line="240" w:lineRule="auto"/>
        <w:rPr>
          <w:rFonts w:ascii="Arial" w:eastAsia="Arial" w:hAnsi="Arial" w:cs="Arial"/>
          <w:bCs/>
          <w:sz w:val="20"/>
          <w:szCs w:val="20"/>
        </w:rPr>
      </w:pPr>
      <w:r w:rsidRPr="00B47483">
        <w:rPr>
          <w:rFonts w:ascii="Arial" w:hAnsi="Arial"/>
          <w:bCs/>
          <w:sz w:val="20"/>
        </w:rPr>
        <w:t>ADVIRTIENDO de que los retrasos en la aplicación de los marcos legislativos actuales para proteger los bosques y las deficiencias a la hora de abordar los impactos sobre otros ecosistemas, como los pastizales o las sabanas, podrían debilitar los esfuerzos mundiales para mitigar el cambio climático y proteger la biodiversidad; y</w:t>
      </w:r>
    </w:p>
    <w:p w14:paraId="0955C1B9" w14:textId="77777777" w:rsidR="007D367B" w:rsidRPr="00B47483" w:rsidRDefault="007D367B" w:rsidP="00615AB8">
      <w:pPr>
        <w:spacing w:after="0" w:line="240" w:lineRule="auto"/>
        <w:rPr>
          <w:rFonts w:ascii="Arial" w:eastAsia="Arial" w:hAnsi="Arial" w:cs="Arial"/>
          <w:bCs/>
          <w:sz w:val="20"/>
          <w:szCs w:val="20"/>
        </w:rPr>
      </w:pPr>
    </w:p>
    <w:p w14:paraId="39F58C28" w14:textId="77777777" w:rsidR="4B45BF91" w:rsidRPr="00B47483" w:rsidRDefault="0BADC3BC" w:rsidP="00615AB8">
      <w:pPr>
        <w:spacing w:after="0" w:line="240" w:lineRule="auto"/>
        <w:rPr>
          <w:rFonts w:ascii="Arial" w:eastAsia="Arial" w:hAnsi="Arial" w:cs="Arial"/>
          <w:bCs/>
          <w:sz w:val="20"/>
          <w:szCs w:val="20"/>
        </w:rPr>
      </w:pPr>
      <w:r w:rsidRPr="00B47483">
        <w:rPr>
          <w:rFonts w:ascii="Arial" w:hAnsi="Arial"/>
          <w:bCs/>
          <w:sz w:val="20"/>
        </w:rPr>
        <w:t xml:space="preserve">REITERANDO la necesidad urgente de un enfoque integrado que tenga en cuenta tanto los bosques como el resto de </w:t>
      </w:r>
      <w:proofErr w:type="gramStart"/>
      <w:r w:rsidRPr="00B47483">
        <w:rPr>
          <w:rFonts w:ascii="Arial" w:hAnsi="Arial"/>
          <w:bCs/>
          <w:sz w:val="20"/>
        </w:rPr>
        <w:t>ecosistemas</w:t>
      </w:r>
      <w:proofErr w:type="gramEnd"/>
      <w:r w:rsidRPr="00B47483">
        <w:rPr>
          <w:rFonts w:ascii="Arial" w:hAnsi="Arial"/>
          <w:bCs/>
          <w:sz w:val="20"/>
        </w:rPr>
        <w:t xml:space="preserve"> con vegetación nativa amenazada en los mecanismos de trazabilidad y cumplimiento de las cadenas de suministro, a fin de evitar transmitir los impactos ambientales y sociales negativos a las regiones vulnerables;</w:t>
      </w:r>
    </w:p>
    <w:p w14:paraId="1C0EABFB" w14:textId="77777777" w:rsidR="00A522C8" w:rsidRPr="00B47483" w:rsidRDefault="00A522C8" w:rsidP="00615AB8">
      <w:pPr>
        <w:spacing w:after="0" w:line="240" w:lineRule="auto"/>
        <w:rPr>
          <w:rFonts w:ascii="Arial" w:eastAsia="Arial" w:hAnsi="Arial" w:cs="Arial"/>
          <w:bCs/>
          <w:sz w:val="20"/>
          <w:szCs w:val="20"/>
        </w:rPr>
      </w:pPr>
    </w:p>
    <w:p w14:paraId="79E880AA" w14:textId="77777777" w:rsidR="007D367B" w:rsidRPr="00B47483" w:rsidRDefault="00A522C8" w:rsidP="00615AB8">
      <w:pPr>
        <w:spacing w:after="0" w:line="240" w:lineRule="auto"/>
        <w:rPr>
          <w:rFonts w:ascii="Arial" w:eastAsia="Arial" w:hAnsi="Arial" w:cs="Arial"/>
          <w:bCs/>
          <w:sz w:val="20"/>
          <w:szCs w:val="20"/>
        </w:rPr>
      </w:pPr>
      <w:r w:rsidRPr="00B47483">
        <w:rPr>
          <w:rFonts w:ascii="Arial" w:hAnsi="Arial"/>
          <w:bCs/>
          <w:sz w:val="20"/>
        </w:rPr>
        <w:t>El Congreso Mundial de la Naturaleza de la UICN 2025, en su período de sesiones de Abu Dabi (Emiratos Árabes Unidos):</w:t>
      </w:r>
    </w:p>
    <w:p w14:paraId="679CFAB5" w14:textId="77777777" w:rsidR="007D367B" w:rsidRPr="00B47483" w:rsidRDefault="007D367B" w:rsidP="00615AB8">
      <w:pPr>
        <w:spacing w:after="0" w:line="240" w:lineRule="auto"/>
        <w:rPr>
          <w:rFonts w:ascii="Arial" w:eastAsia="Arial" w:hAnsi="Arial" w:cs="Arial"/>
          <w:bCs/>
          <w:sz w:val="20"/>
          <w:szCs w:val="20"/>
        </w:rPr>
      </w:pPr>
    </w:p>
    <w:p w14:paraId="0C4AE2D3" w14:textId="77777777" w:rsidR="007D367B" w:rsidRPr="00B47483" w:rsidRDefault="00A522C8" w:rsidP="00615AB8">
      <w:pPr>
        <w:spacing w:after="0" w:line="240" w:lineRule="auto"/>
        <w:rPr>
          <w:rFonts w:ascii="Arial" w:eastAsia="Arial" w:hAnsi="Arial" w:cs="Arial"/>
          <w:bCs/>
          <w:sz w:val="20"/>
          <w:szCs w:val="20"/>
        </w:rPr>
      </w:pPr>
      <w:r w:rsidRPr="00B47483">
        <w:rPr>
          <w:rFonts w:ascii="Arial" w:hAnsi="Arial"/>
          <w:bCs/>
          <w:sz w:val="20"/>
        </w:rPr>
        <w:t>1. INSTA al Director General a que, en coordinación con las Oficinas Regionales de la UICN, colabore con socios estratégicos para proteger los pastizales, las sabanas y otros tipos de vegetación nativa de la conversión para la producción de materias primas —entre otros, en los ecosistemas del Cerrado, las pampas, el Chaco Húmedo, Orinoquía, Pantanal y el Miombo—, elaborando unas directrices específicas para la trazabilidad y la clasificación de riesgos que aborden las características únicas de las cadenas de suministro asociadas a estos biomas;</w:t>
      </w:r>
    </w:p>
    <w:p w14:paraId="2FEC6FCD" w14:textId="77777777" w:rsidR="007D367B" w:rsidRPr="00B47483" w:rsidRDefault="007D367B" w:rsidP="00615AB8">
      <w:pPr>
        <w:spacing w:after="0" w:line="240" w:lineRule="auto"/>
        <w:rPr>
          <w:rFonts w:ascii="Arial" w:eastAsia="Arial" w:hAnsi="Arial" w:cs="Arial"/>
          <w:bCs/>
          <w:sz w:val="20"/>
          <w:szCs w:val="20"/>
        </w:rPr>
      </w:pPr>
    </w:p>
    <w:p w14:paraId="1C89D953" w14:textId="77777777" w:rsidR="007D367B" w:rsidRPr="00B47483" w:rsidRDefault="00573D94" w:rsidP="00615AB8">
      <w:pPr>
        <w:spacing w:after="0" w:line="240" w:lineRule="auto"/>
        <w:rPr>
          <w:rFonts w:ascii="Arial" w:eastAsia="Arial" w:hAnsi="Arial" w:cs="Arial"/>
          <w:bCs/>
          <w:sz w:val="20"/>
          <w:szCs w:val="20"/>
        </w:rPr>
      </w:pPr>
      <w:r w:rsidRPr="00B47483">
        <w:rPr>
          <w:rFonts w:ascii="Arial" w:hAnsi="Arial"/>
          <w:bCs/>
          <w:sz w:val="20"/>
        </w:rPr>
        <w:t>2. ALIENTA a los gobiernos de los países exportadores afectados a que:</w:t>
      </w:r>
    </w:p>
    <w:p w14:paraId="6F63146D" w14:textId="77777777" w:rsidR="007D367B" w:rsidRPr="00B47483" w:rsidRDefault="007D367B" w:rsidP="00615AB8">
      <w:pPr>
        <w:spacing w:after="0" w:line="240" w:lineRule="auto"/>
        <w:rPr>
          <w:rFonts w:ascii="Arial" w:eastAsia="Arial" w:hAnsi="Arial" w:cs="Arial"/>
          <w:bCs/>
          <w:sz w:val="20"/>
          <w:szCs w:val="20"/>
        </w:rPr>
      </w:pPr>
    </w:p>
    <w:p w14:paraId="47137A2E" w14:textId="70BC2F81" w:rsidR="007D367B" w:rsidRPr="00B47483" w:rsidRDefault="00573D94" w:rsidP="00615AB8">
      <w:pPr>
        <w:spacing w:after="0" w:line="240" w:lineRule="auto"/>
        <w:rPr>
          <w:rFonts w:ascii="Arial" w:hAnsi="Arial" w:cs="Arial"/>
          <w:bCs/>
          <w:sz w:val="20"/>
          <w:szCs w:val="20"/>
        </w:rPr>
      </w:pPr>
      <w:r w:rsidRPr="00B47483">
        <w:rPr>
          <w:rFonts w:ascii="Arial" w:hAnsi="Arial"/>
          <w:bCs/>
          <w:sz w:val="20"/>
        </w:rPr>
        <w:t xml:space="preserve">a. promulguen políticas nacionales que </w:t>
      </w:r>
      <w:r w:rsidR="002A2D16" w:rsidRPr="00B47483">
        <w:rPr>
          <w:rFonts w:ascii="Arial" w:hAnsi="Arial"/>
          <w:bCs/>
          <w:sz w:val="20"/>
        </w:rPr>
        <w:t xml:space="preserve">garanticen que </w:t>
      </w:r>
      <w:r w:rsidRPr="00B47483">
        <w:rPr>
          <w:rFonts w:ascii="Arial" w:hAnsi="Arial"/>
          <w:bCs/>
          <w:sz w:val="20"/>
        </w:rPr>
        <w:t xml:space="preserve">la producción y exportación de productos básicos </w:t>
      </w:r>
      <w:r w:rsidR="002A2D16" w:rsidRPr="00B47483">
        <w:rPr>
          <w:rFonts w:ascii="Arial" w:hAnsi="Arial"/>
          <w:bCs/>
          <w:sz w:val="20"/>
        </w:rPr>
        <w:t xml:space="preserve">son conformes con </w:t>
      </w:r>
      <w:r w:rsidRPr="00B47483">
        <w:rPr>
          <w:rFonts w:ascii="Arial" w:hAnsi="Arial"/>
          <w:bCs/>
          <w:sz w:val="20"/>
        </w:rPr>
        <w:t>los estrictos requisitos de sostenibilidad y derechos humanos</w:t>
      </w:r>
      <w:r w:rsidR="00B905BD" w:rsidRPr="00B47483">
        <w:rPr>
          <w:rFonts w:ascii="Arial" w:hAnsi="Arial"/>
          <w:bCs/>
          <w:sz w:val="20"/>
        </w:rPr>
        <w:t xml:space="preserve"> nacionales, incluidos sistemas de vigilancia y otras disposiciones para abordar las fugas del mercado, y</w:t>
      </w:r>
      <w:r w:rsidRPr="00B47483">
        <w:rPr>
          <w:rFonts w:ascii="Arial" w:hAnsi="Arial"/>
          <w:bCs/>
          <w:sz w:val="20"/>
        </w:rPr>
        <w:t xml:space="preserve"> </w:t>
      </w:r>
    </w:p>
    <w:p w14:paraId="514315CB" w14:textId="77777777" w:rsidR="007D367B" w:rsidRPr="00B47483" w:rsidRDefault="007D367B" w:rsidP="00615AB8">
      <w:pPr>
        <w:spacing w:after="0" w:line="240" w:lineRule="auto"/>
        <w:rPr>
          <w:rFonts w:ascii="Arial" w:hAnsi="Arial" w:cs="Arial"/>
          <w:bCs/>
          <w:sz w:val="20"/>
          <w:szCs w:val="20"/>
        </w:rPr>
      </w:pPr>
    </w:p>
    <w:p w14:paraId="15A7F9D8" w14:textId="577BFC56" w:rsidR="007D367B" w:rsidRPr="00B47483" w:rsidRDefault="00573D94" w:rsidP="00615AB8">
      <w:pPr>
        <w:spacing w:after="0" w:line="240" w:lineRule="auto"/>
        <w:rPr>
          <w:rFonts w:ascii="Arial" w:eastAsia="Arial" w:hAnsi="Arial" w:cs="Arial"/>
          <w:bCs/>
          <w:sz w:val="20"/>
          <w:szCs w:val="20"/>
        </w:rPr>
      </w:pPr>
      <w:r w:rsidRPr="00B47483">
        <w:rPr>
          <w:rFonts w:ascii="Arial" w:hAnsi="Arial"/>
          <w:bCs/>
          <w:sz w:val="20"/>
        </w:rPr>
        <w:t>b. refuercen la gobernanza ambiental y de la tierra para proteger a las comunidades locales de los impactos negativos;</w:t>
      </w:r>
      <w:r w:rsidR="00D21FD6" w:rsidRPr="00B47483">
        <w:rPr>
          <w:rFonts w:ascii="Arial" w:hAnsi="Arial"/>
          <w:bCs/>
          <w:sz w:val="20"/>
        </w:rPr>
        <w:t xml:space="preserve"> y</w:t>
      </w:r>
    </w:p>
    <w:p w14:paraId="682898ED" w14:textId="77777777" w:rsidR="007D367B" w:rsidRPr="00B47483" w:rsidRDefault="007D367B" w:rsidP="00615AB8">
      <w:pPr>
        <w:spacing w:after="0" w:line="240" w:lineRule="auto"/>
        <w:rPr>
          <w:rFonts w:ascii="Arial" w:eastAsia="Arial" w:hAnsi="Arial" w:cs="Arial"/>
          <w:bCs/>
          <w:sz w:val="20"/>
          <w:szCs w:val="20"/>
        </w:rPr>
      </w:pPr>
    </w:p>
    <w:p w14:paraId="3BB23D92" w14:textId="77777777" w:rsidR="00D21FD6" w:rsidRPr="00B47483" w:rsidRDefault="00D21FD6" w:rsidP="00D21FD6">
      <w:pPr>
        <w:spacing w:after="0" w:line="240" w:lineRule="auto"/>
        <w:rPr>
          <w:rFonts w:ascii="Arial" w:eastAsia="Arial" w:hAnsi="Arial" w:cs="Arial"/>
          <w:bCs/>
          <w:sz w:val="20"/>
          <w:szCs w:val="20"/>
        </w:rPr>
      </w:pPr>
      <w:r w:rsidRPr="00B47483">
        <w:rPr>
          <w:rFonts w:ascii="Arial" w:eastAsia="Arial" w:hAnsi="Arial" w:cs="Arial"/>
          <w:bCs/>
          <w:sz w:val="20"/>
          <w:szCs w:val="20"/>
        </w:rPr>
        <w:t>c. adopten un enfoque a escala del paisaje para gestionar la producción de productos básicos, mediante la planificación del uso de la tierra, abordando los factores subyacentes de la conversión y degradación del paisaje, y facilitando la colaboración público-privada hacia una producción sostenible;</w:t>
      </w:r>
    </w:p>
    <w:p w14:paraId="18A9EF57" w14:textId="77777777" w:rsidR="00D21FD6" w:rsidRPr="00B47483" w:rsidRDefault="00D21FD6" w:rsidP="00615AB8">
      <w:pPr>
        <w:spacing w:after="0" w:line="240" w:lineRule="auto"/>
        <w:rPr>
          <w:rFonts w:ascii="Arial" w:eastAsia="Arial" w:hAnsi="Arial" w:cs="Arial"/>
          <w:bCs/>
          <w:sz w:val="20"/>
          <w:szCs w:val="20"/>
        </w:rPr>
      </w:pPr>
    </w:p>
    <w:p w14:paraId="787FA48B" w14:textId="77777777" w:rsidR="006C6CAC" w:rsidRPr="00B47483" w:rsidRDefault="009E3DFD" w:rsidP="00615AB8">
      <w:pPr>
        <w:spacing w:after="0" w:line="240" w:lineRule="auto"/>
        <w:rPr>
          <w:rFonts w:ascii="Arial" w:hAnsi="Arial"/>
          <w:bCs/>
          <w:sz w:val="20"/>
        </w:rPr>
      </w:pPr>
      <w:r w:rsidRPr="00B47483">
        <w:rPr>
          <w:rFonts w:ascii="Arial" w:hAnsi="Arial"/>
          <w:bCs/>
          <w:sz w:val="20"/>
        </w:rPr>
        <w:lastRenderedPageBreak/>
        <w:t>3. PIDE que los fondos ambientales internacionales, como el Fondo Verde para el Clima</w:t>
      </w:r>
      <w:r w:rsidR="00B905BD" w:rsidRPr="00B47483">
        <w:rPr>
          <w:rFonts w:ascii="Arial" w:hAnsi="Arial"/>
          <w:bCs/>
          <w:sz w:val="20"/>
        </w:rPr>
        <w:t>,</w:t>
      </w:r>
      <w:r w:rsidRPr="00B47483">
        <w:rPr>
          <w:rFonts w:ascii="Arial" w:hAnsi="Arial"/>
          <w:bCs/>
          <w:sz w:val="20"/>
        </w:rPr>
        <w:t xml:space="preserve"> el Fondo para el Medio Ambiente Mundial</w:t>
      </w:r>
      <w:r w:rsidR="00B905BD" w:rsidRPr="00B47483">
        <w:rPr>
          <w:rFonts w:ascii="Arial" w:hAnsi="Arial"/>
          <w:bCs/>
          <w:sz w:val="20"/>
        </w:rPr>
        <w:t xml:space="preserve"> y el Fondo Marco Mundial para la Diversidad Biológica (GBFF, por sus siglas en inglés)</w:t>
      </w:r>
      <w:r w:rsidRPr="00B47483">
        <w:rPr>
          <w:rFonts w:ascii="Arial" w:hAnsi="Arial"/>
          <w:bCs/>
          <w:sz w:val="20"/>
        </w:rPr>
        <w:t>, prioricen el financiamiento de estrategias de conservación y u</w:t>
      </w:r>
      <w:r w:rsidR="00B905BD" w:rsidRPr="00B47483">
        <w:rPr>
          <w:rFonts w:ascii="Arial" w:hAnsi="Arial"/>
          <w:bCs/>
          <w:sz w:val="20"/>
        </w:rPr>
        <w:t>tilización</w:t>
      </w:r>
      <w:r w:rsidRPr="00B47483">
        <w:rPr>
          <w:rFonts w:ascii="Arial" w:hAnsi="Arial"/>
          <w:bCs/>
          <w:sz w:val="20"/>
        </w:rPr>
        <w:t xml:space="preserve"> sostenible en ecosistemas no forestales, </w:t>
      </w:r>
      <w:r w:rsidR="00E6581C" w:rsidRPr="00B47483">
        <w:rPr>
          <w:rFonts w:ascii="Arial" w:hAnsi="Arial"/>
          <w:bCs/>
          <w:sz w:val="20"/>
        </w:rPr>
        <w:t xml:space="preserve">con medidas </w:t>
      </w:r>
      <w:r w:rsidRPr="00B47483">
        <w:rPr>
          <w:rFonts w:ascii="Arial" w:hAnsi="Arial"/>
          <w:bCs/>
          <w:sz w:val="20"/>
        </w:rPr>
        <w:t>tales como: incentivos para los pequeños productores destinados a mantener la vegetación nativa o iniciativas de restauración ecológica y de adaptación al cambio climático</w:t>
      </w:r>
      <w:r w:rsidR="00B905BD" w:rsidRPr="00B47483">
        <w:rPr>
          <w:rFonts w:ascii="Arial" w:hAnsi="Arial"/>
          <w:bCs/>
          <w:sz w:val="20"/>
        </w:rPr>
        <w:t xml:space="preserve"> y la mitigación de sus efectos</w:t>
      </w:r>
      <w:r w:rsidRPr="00B47483">
        <w:rPr>
          <w:rFonts w:ascii="Arial" w:hAnsi="Arial"/>
          <w:bCs/>
          <w:sz w:val="20"/>
        </w:rPr>
        <w:t>; y</w:t>
      </w:r>
    </w:p>
    <w:p w14:paraId="53D870A4" w14:textId="77777777" w:rsidR="006C6CAC" w:rsidRPr="00B47483" w:rsidRDefault="006C6CAC" w:rsidP="00615AB8">
      <w:pPr>
        <w:spacing w:after="0" w:line="240" w:lineRule="auto"/>
        <w:rPr>
          <w:rFonts w:ascii="Arial" w:eastAsia="Arial" w:hAnsi="Arial" w:cs="Arial"/>
          <w:bCs/>
          <w:sz w:val="20"/>
          <w:szCs w:val="20"/>
        </w:rPr>
      </w:pPr>
    </w:p>
    <w:p w14:paraId="31661F11" w14:textId="77777777" w:rsidR="006C6CAC" w:rsidRPr="00B47483" w:rsidRDefault="009E3DFD" w:rsidP="00615AB8">
      <w:pPr>
        <w:spacing w:after="0" w:line="240" w:lineRule="auto"/>
        <w:rPr>
          <w:rFonts w:ascii="Arial" w:hAnsi="Arial" w:cs="Arial"/>
          <w:bCs/>
          <w:sz w:val="20"/>
          <w:szCs w:val="20"/>
        </w:rPr>
      </w:pPr>
      <w:r w:rsidRPr="00B47483">
        <w:rPr>
          <w:rFonts w:ascii="Arial" w:hAnsi="Arial"/>
          <w:bCs/>
          <w:sz w:val="20"/>
        </w:rPr>
        <w:t>4. EXIGE una comunicación más eficaz entre los gobiernos, la sociedad civil y el sector privado para promover:</w:t>
      </w:r>
    </w:p>
    <w:p w14:paraId="35C2A0B3" w14:textId="77777777" w:rsidR="006C6CAC" w:rsidRPr="00B47483" w:rsidRDefault="006C6CAC" w:rsidP="00615AB8">
      <w:pPr>
        <w:spacing w:after="0" w:line="240" w:lineRule="auto"/>
        <w:rPr>
          <w:rFonts w:ascii="Arial" w:hAnsi="Arial" w:cs="Arial"/>
          <w:bCs/>
          <w:sz w:val="20"/>
          <w:szCs w:val="20"/>
        </w:rPr>
      </w:pPr>
    </w:p>
    <w:p w14:paraId="069BBE7C" w14:textId="77777777" w:rsidR="0019731B" w:rsidRPr="00B47483" w:rsidRDefault="009E3DFD" w:rsidP="00615AB8">
      <w:pPr>
        <w:spacing w:after="0" w:line="240" w:lineRule="auto"/>
        <w:rPr>
          <w:rFonts w:ascii="Arial" w:eastAsia="Arial" w:hAnsi="Arial" w:cs="Arial"/>
          <w:bCs/>
          <w:sz w:val="20"/>
          <w:szCs w:val="20"/>
        </w:rPr>
      </w:pPr>
      <w:r w:rsidRPr="00B47483">
        <w:rPr>
          <w:rFonts w:ascii="Arial" w:hAnsi="Arial"/>
          <w:bCs/>
          <w:sz w:val="20"/>
        </w:rPr>
        <w:t>a. la consideración de los ecosistemas como proveedores de servicios esenciales y de recursos económicos sostenibles; y</w:t>
      </w:r>
    </w:p>
    <w:p w14:paraId="1FE74B27" w14:textId="77777777" w:rsidR="0019731B" w:rsidRPr="00B47483" w:rsidRDefault="0019731B" w:rsidP="00615AB8">
      <w:pPr>
        <w:spacing w:after="0" w:line="240" w:lineRule="auto"/>
        <w:rPr>
          <w:rFonts w:ascii="Arial" w:eastAsia="Arial" w:hAnsi="Arial" w:cs="Arial"/>
          <w:bCs/>
          <w:sz w:val="20"/>
          <w:szCs w:val="20"/>
        </w:rPr>
      </w:pPr>
    </w:p>
    <w:p w14:paraId="073AE22D" w14:textId="77777777" w:rsidR="4B45BF91" w:rsidRPr="00B47483" w:rsidRDefault="009E3DFD" w:rsidP="00615AB8">
      <w:pPr>
        <w:spacing w:after="0" w:line="240" w:lineRule="auto"/>
        <w:rPr>
          <w:rFonts w:ascii="Arial" w:hAnsi="Arial"/>
          <w:bCs/>
          <w:sz w:val="20"/>
        </w:rPr>
      </w:pPr>
      <w:r w:rsidRPr="00B47483">
        <w:rPr>
          <w:rFonts w:ascii="Arial" w:hAnsi="Arial"/>
          <w:bCs/>
          <w:sz w:val="20"/>
        </w:rPr>
        <w:t>b. el reconocimiento de los derechos y las funciones críticas que desempeñan los pueblos indígenas y las comunidades tradicionales en la protección y la gestión sostenible de sus territorios.</w:t>
      </w:r>
    </w:p>
    <w:p w14:paraId="79038500" w14:textId="77777777" w:rsidR="00B905BD" w:rsidRPr="00B47483" w:rsidRDefault="00B905BD" w:rsidP="00615AB8">
      <w:pPr>
        <w:spacing w:after="0" w:line="240" w:lineRule="auto"/>
        <w:rPr>
          <w:rFonts w:ascii="Arial" w:hAnsi="Arial"/>
          <w:bCs/>
          <w:sz w:val="20"/>
        </w:rPr>
      </w:pPr>
    </w:p>
    <w:p w14:paraId="17125B18" w14:textId="4187B7E6" w:rsidR="00B905BD" w:rsidRPr="00B47483" w:rsidRDefault="00B905BD" w:rsidP="00B905BD">
      <w:pPr>
        <w:spacing w:after="0" w:line="240" w:lineRule="auto"/>
        <w:rPr>
          <w:rFonts w:ascii="Arial" w:eastAsia="Arial" w:hAnsi="Arial" w:cs="Arial"/>
          <w:bCs/>
          <w:sz w:val="20"/>
          <w:szCs w:val="20"/>
        </w:rPr>
      </w:pPr>
      <w:r w:rsidRPr="00B47483">
        <w:rPr>
          <w:rFonts w:ascii="Arial" w:eastAsia="Arial" w:hAnsi="Arial" w:cs="Arial"/>
          <w:bCs/>
          <w:sz w:val="20"/>
          <w:szCs w:val="20"/>
        </w:rPr>
        <w:t>5. A</w:t>
      </w:r>
      <w:r w:rsidR="000D39AC" w:rsidRPr="00B47483">
        <w:rPr>
          <w:rFonts w:ascii="Arial" w:eastAsia="Arial" w:hAnsi="Arial" w:cs="Arial"/>
          <w:bCs/>
          <w:sz w:val="20"/>
          <w:szCs w:val="20"/>
        </w:rPr>
        <w:t>LIENTA</w:t>
      </w:r>
      <w:r w:rsidRPr="00B47483">
        <w:rPr>
          <w:rFonts w:ascii="Arial" w:eastAsia="Arial" w:hAnsi="Arial" w:cs="Arial"/>
          <w:bCs/>
          <w:sz w:val="20"/>
          <w:szCs w:val="20"/>
        </w:rPr>
        <w:t xml:space="preserve"> a los Gobiernos de los países importadores a que sigan avanzando en la protección de los ecosistemas mediante instrumentos jurídicos, con un ámbito</w:t>
      </w:r>
      <w:r w:rsidR="000D39AC" w:rsidRPr="00B47483">
        <w:rPr>
          <w:rFonts w:ascii="Arial" w:eastAsia="Arial" w:hAnsi="Arial" w:cs="Arial"/>
          <w:bCs/>
          <w:sz w:val="20"/>
          <w:szCs w:val="20"/>
        </w:rPr>
        <w:t xml:space="preserve"> de aplicación que incluya no so</w:t>
      </w:r>
      <w:r w:rsidRPr="00B47483">
        <w:rPr>
          <w:rFonts w:ascii="Arial" w:eastAsia="Arial" w:hAnsi="Arial" w:cs="Arial"/>
          <w:bCs/>
          <w:sz w:val="20"/>
          <w:szCs w:val="20"/>
        </w:rPr>
        <w:t>lo las zonas forestales sino también las no forestales</w:t>
      </w:r>
      <w:r w:rsidR="000D39AC" w:rsidRPr="00B47483">
        <w:rPr>
          <w:rFonts w:ascii="Arial" w:eastAsia="Arial" w:hAnsi="Arial" w:cs="Arial"/>
          <w:bCs/>
          <w:sz w:val="20"/>
          <w:szCs w:val="20"/>
        </w:rPr>
        <w:t>.</w:t>
      </w:r>
    </w:p>
    <w:p w14:paraId="363D7891" w14:textId="77777777" w:rsidR="00B905BD" w:rsidRPr="00B47483" w:rsidRDefault="00B905BD" w:rsidP="00B905BD">
      <w:pPr>
        <w:spacing w:after="0" w:line="240" w:lineRule="auto"/>
        <w:rPr>
          <w:rFonts w:ascii="Arial" w:hAnsi="Arial"/>
          <w:bCs/>
          <w:sz w:val="20"/>
        </w:rPr>
      </w:pPr>
    </w:p>
    <w:p w14:paraId="6F472C23" w14:textId="2D782D55" w:rsidR="00B905BD" w:rsidRPr="00B47483" w:rsidRDefault="00B905BD" w:rsidP="00B905BD">
      <w:pPr>
        <w:spacing w:after="0" w:line="240" w:lineRule="auto"/>
        <w:rPr>
          <w:rFonts w:ascii="Arial" w:eastAsia="Arial" w:hAnsi="Arial" w:cs="Arial"/>
          <w:bCs/>
          <w:sz w:val="20"/>
          <w:szCs w:val="20"/>
        </w:rPr>
      </w:pPr>
      <w:r w:rsidRPr="00B47483">
        <w:rPr>
          <w:rFonts w:ascii="Arial" w:eastAsia="Arial" w:hAnsi="Arial" w:cs="Arial"/>
          <w:bCs/>
          <w:sz w:val="20"/>
          <w:szCs w:val="20"/>
        </w:rPr>
        <w:t xml:space="preserve">6. INSTA al </w:t>
      </w:r>
      <w:proofErr w:type="gramStart"/>
      <w:r w:rsidRPr="00B47483">
        <w:rPr>
          <w:rFonts w:ascii="Arial" w:eastAsia="Arial" w:hAnsi="Arial" w:cs="Arial"/>
          <w:bCs/>
          <w:sz w:val="20"/>
          <w:szCs w:val="20"/>
        </w:rPr>
        <w:t>Director General</w:t>
      </w:r>
      <w:proofErr w:type="gramEnd"/>
      <w:r w:rsidRPr="00B47483">
        <w:rPr>
          <w:rFonts w:ascii="Arial" w:eastAsia="Arial" w:hAnsi="Arial" w:cs="Arial"/>
          <w:bCs/>
          <w:sz w:val="20"/>
          <w:szCs w:val="20"/>
        </w:rPr>
        <w:t xml:space="preserve"> y a las Comisiones de la UICN a abogar por una mejor consideración y gestión de los </w:t>
      </w:r>
      <w:r w:rsidR="0009379E" w:rsidRPr="00B47483">
        <w:rPr>
          <w:rFonts w:ascii="Arial" w:eastAsia="Arial" w:hAnsi="Arial" w:cs="Arial"/>
          <w:bCs/>
          <w:sz w:val="20"/>
          <w:szCs w:val="20"/>
        </w:rPr>
        <w:t xml:space="preserve">efectos en </w:t>
      </w:r>
      <w:r w:rsidRPr="00B47483">
        <w:rPr>
          <w:rFonts w:ascii="Arial" w:eastAsia="Arial" w:hAnsi="Arial" w:cs="Arial"/>
          <w:bCs/>
          <w:sz w:val="20"/>
          <w:szCs w:val="20"/>
        </w:rPr>
        <w:t>la biodiversidad de</w:t>
      </w:r>
      <w:r w:rsidR="0009379E" w:rsidRPr="00B47483">
        <w:rPr>
          <w:rFonts w:ascii="Arial" w:eastAsia="Arial" w:hAnsi="Arial" w:cs="Arial"/>
          <w:bCs/>
          <w:sz w:val="20"/>
          <w:szCs w:val="20"/>
        </w:rPr>
        <w:t>rivados de</w:t>
      </w:r>
      <w:r w:rsidRPr="00B47483">
        <w:rPr>
          <w:rFonts w:ascii="Arial" w:eastAsia="Arial" w:hAnsi="Arial" w:cs="Arial"/>
          <w:bCs/>
          <w:sz w:val="20"/>
          <w:szCs w:val="20"/>
        </w:rPr>
        <w:t xml:space="preserve"> l</w:t>
      </w:r>
      <w:r w:rsidR="0009379E" w:rsidRPr="00B47483">
        <w:rPr>
          <w:rFonts w:ascii="Arial" w:eastAsia="Arial" w:hAnsi="Arial" w:cs="Arial"/>
          <w:bCs/>
          <w:sz w:val="20"/>
          <w:szCs w:val="20"/>
        </w:rPr>
        <w:t>os productos básicos</w:t>
      </w:r>
      <w:r w:rsidRPr="00B47483">
        <w:rPr>
          <w:rFonts w:ascii="Arial" w:eastAsia="Arial" w:hAnsi="Arial" w:cs="Arial"/>
          <w:bCs/>
          <w:sz w:val="20"/>
          <w:szCs w:val="20"/>
        </w:rPr>
        <w:t xml:space="preserve"> por parte del sector privado, mediante el uso de marcos de divulgación y sostenibilidad del sector privado</w:t>
      </w:r>
      <w:r w:rsidR="000D39AC" w:rsidRPr="00B47483">
        <w:rPr>
          <w:rFonts w:ascii="Arial" w:eastAsia="Arial" w:hAnsi="Arial" w:cs="Arial"/>
          <w:bCs/>
          <w:sz w:val="20"/>
          <w:szCs w:val="20"/>
        </w:rPr>
        <w:t>.</w:t>
      </w:r>
    </w:p>
    <w:p w14:paraId="18753646" w14:textId="77777777" w:rsidR="00B905BD" w:rsidRPr="00B47483" w:rsidRDefault="00B905BD" w:rsidP="00B905BD">
      <w:pPr>
        <w:spacing w:after="0" w:line="240" w:lineRule="auto"/>
        <w:rPr>
          <w:rFonts w:ascii="Arial" w:hAnsi="Arial"/>
          <w:bCs/>
          <w:sz w:val="20"/>
        </w:rPr>
      </w:pPr>
    </w:p>
    <w:p w14:paraId="63AFE322" w14:textId="766FF1AA" w:rsidR="00B905BD" w:rsidRPr="00B47483" w:rsidRDefault="00B905BD" w:rsidP="00B905BD">
      <w:pPr>
        <w:spacing w:after="0" w:line="240" w:lineRule="auto"/>
        <w:rPr>
          <w:rFonts w:ascii="Arial" w:eastAsia="Arial" w:hAnsi="Arial" w:cs="Arial"/>
          <w:bCs/>
          <w:sz w:val="20"/>
          <w:szCs w:val="20"/>
        </w:rPr>
      </w:pPr>
      <w:r w:rsidRPr="00B47483">
        <w:rPr>
          <w:rFonts w:ascii="Arial" w:eastAsia="Arial" w:hAnsi="Arial" w:cs="Arial"/>
          <w:bCs/>
          <w:sz w:val="20"/>
          <w:szCs w:val="20"/>
        </w:rPr>
        <w:t>7. ALIENTA a las empresas de productos básicos a</w:t>
      </w:r>
      <w:r w:rsidR="0009379E" w:rsidRPr="00B47483">
        <w:rPr>
          <w:rFonts w:ascii="Arial" w:eastAsia="Arial" w:hAnsi="Arial" w:cs="Arial"/>
          <w:bCs/>
          <w:sz w:val="20"/>
          <w:szCs w:val="20"/>
        </w:rPr>
        <w:t xml:space="preserve"> que</w:t>
      </w:r>
      <w:r w:rsidRPr="00B47483">
        <w:rPr>
          <w:rFonts w:ascii="Arial" w:eastAsia="Arial" w:hAnsi="Arial" w:cs="Arial"/>
          <w:bCs/>
          <w:sz w:val="20"/>
          <w:szCs w:val="20"/>
        </w:rPr>
        <w:t>:</w:t>
      </w:r>
    </w:p>
    <w:p w14:paraId="226A2690" w14:textId="77777777" w:rsidR="003F0B8F" w:rsidRPr="00B47483" w:rsidRDefault="003F0B8F" w:rsidP="00B905BD">
      <w:pPr>
        <w:spacing w:after="0" w:line="240" w:lineRule="auto"/>
        <w:rPr>
          <w:rFonts w:ascii="Arial" w:eastAsia="Arial" w:hAnsi="Arial" w:cs="Arial"/>
          <w:bCs/>
          <w:sz w:val="20"/>
          <w:szCs w:val="20"/>
        </w:rPr>
      </w:pPr>
    </w:p>
    <w:p w14:paraId="6DA98908" w14:textId="77777777" w:rsidR="00B905BD" w:rsidRPr="00B47483" w:rsidRDefault="00B905BD" w:rsidP="00B905BD">
      <w:pPr>
        <w:spacing w:after="0" w:line="240" w:lineRule="auto"/>
        <w:rPr>
          <w:rFonts w:ascii="Arial" w:eastAsia="Arial" w:hAnsi="Arial" w:cs="Arial"/>
          <w:bCs/>
          <w:sz w:val="20"/>
          <w:szCs w:val="20"/>
        </w:rPr>
      </w:pPr>
      <w:r w:rsidRPr="00B47483">
        <w:rPr>
          <w:rFonts w:ascii="Arial" w:eastAsia="Arial" w:hAnsi="Arial" w:cs="Arial"/>
          <w:bCs/>
          <w:sz w:val="20"/>
          <w:szCs w:val="20"/>
        </w:rPr>
        <w:t xml:space="preserve">a. </w:t>
      </w:r>
      <w:r w:rsidR="0009379E" w:rsidRPr="00B47483">
        <w:rPr>
          <w:rFonts w:ascii="Arial" w:eastAsia="Arial" w:hAnsi="Arial" w:cs="Arial"/>
          <w:bCs/>
          <w:sz w:val="20"/>
          <w:szCs w:val="20"/>
        </w:rPr>
        <w:t>apliquen</w:t>
      </w:r>
      <w:r w:rsidRPr="00B47483">
        <w:rPr>
          <w:rFonts w:ascii="Arial" w:eastAsia="Arial" w:hAnsi="Arial" w:cs="Arial"/>
          <w:bCs/>
          <w:sz w:val="20"/>
          <w:szCs w:val="20"/>
        </w:rPr>
        <w:t xml:space="preserve"> medidas significativas </w:t>
      </w:r>
      <w:r w:rsidR="0009379E" w:rsidRPr="00B47483">
        <w:rPr>
          <w:rFonts w:ascii="Arial" w:eastAsia="Arial" w:hAnsi="Arial" w:cs="Arial"/>
          <w:bCs/>
          <w:sz w:val="20"/>
          <w:szCs w:val="20"/>
        </w:rPr>
        <w:t>mediante</w:t>
      </w:r>
      <w:r w:rsidRPr="00B47483">
        <w:rPr>
          <w:rFonts w:ascii="Arial" w:eastAsia="Arial" w:hAnsi="Arial" w:cs="Arial"/>
          <w:bCs/>
          <w:sz w:val="20"/>
          <w:szCs w:val="20"/>
        </w:rPr>
        <w:t xml:space="preserve"> marcos de divulgación y sostenibilidad del sector privado;</w:t>
      </w:r>
    </w:p>
    <w:p w14:paraId="4B9CEBE6" w14:textId="77777777" w:rsidR="003F0B8F" w:rsidRPr="00B47483" w:rsidRDefault="003F0B8F" w:rsidP="00B905BD">
      <w:pPr>
        <w:spacing w:after="0" w:line="240" w:lineRule="auto"/>
        <w:rPr>
          <w:rFonts w:ascii="Arial" w:eastAsia="Arial" w:hAnsi="Arial" w:cs="Arial"/>
          <w:bCs/>
          <w:sz w:val="20"/>
          <w:szCs w:val="20"/>
        </w:rPr>
      </w:pPr>
    </w:p>
    <w:p w14:paraId="1BFAF783" w14:textId="73AF734B" w:rsidR="00B905BD" w:rsidRPr="00B47483" w:rsidRDefault="00B905BD" w:rsidP="00B905BD">
      <w:pPr>
        <w:spacing w:after="0" w:line="240" w:lineRule="auto"/>
        <w:rPr>
          <w:rFonts w:ascii="Arial" w:eastAsia="Arial" w:hAnsi="Arial" w:cs="Arial"/>
          <w:bCs/>
          <w:sz w:val="20"/>
          <w:szCs w:val="20"/>
        </w:rPr>
      </w:pPr>
      <w:r w:rsidRPr="00B47483">
        <w:rPr>
          <w:rFonts w:ascii="Arial" w:eastAsia="Arial" w:hAnsi="Arial" w:cs="Arial"/>
          <w:bCs/>
          <w:sz w:val="20"/>
          <w:szCs w:val="20"/>
        </w:rPr>
        <w:t xml:space="preserve">b. </w:t>
      </w:r>
      <w:r w:rsidR="0009379E" w:rsidRPr="00B47483">
        <w:rPr>
          <w:rFonts w:ascii="Arial" w:eastAsia="Arial" w:hAnsi="Arial" w:cs="Arial"/>
          <w:bCs/>
          <w:sz w:val="20"/>
          <w:szCs w:val="20"/>
        </w:rPr>
        <w:t xml:space="preserve">inviertan </w:t>
      </w:r>
      <w:r w:rsidRPr="00B47483">
        <w:rPr>
          <w:rFonts w:ascii="Arial" w:eastAsia="Arial" w:hAnsi="Arial" w:cs="Arial"/>
          <w:bCs/>
          <w:sz w:val="20"/>
          <w:szCs w:val="20"/>
        </w:rPr>
        <w:t xml:space="preserve">en la cadena de suministro </w:t>
      </w:r>
      <w:r w:rsidR="0009379E" w:rsidRPr="00B47483">
        <w:rPr>
          <w:rFonts w:ascii="Arial" w:eastAsia="Arial" w:hAnsi="Arial" w:cs="Arial"/>
          <w:bCs/>
          <w:sz w:val="20"/>
          <w:szCs w:val="20"/>
        </w:rPr>
        <w:t xml:space="preserve">de producción de </w:t>
      </w:r>
      <w:r w:rsidRPr="00B47483">
        <w:rPr>
          <w:rFonts w:ascii="Arial" w:eastAsia="Arial" w:hAnsi="Arial" w:cs="Arial"/>
          <w:bCs/>
          <w:sz w:val="20"/>
          <w:szCs w:val="20"/>
        </w:rPr>
        <w:t xml:space="preserve">materias primas </w:t>
      </w:r>
      <w:r w:rsidR="0009379E" w:rsidRPr="00B47483">
        <w:rPr>
          <w:rFonts w:ascii="Arial" w:eastAsia="Arial" w:hAnsi="Arial" w:cs="Arial"/>
          <w:bCs/>
          <w:sz w:val="20"/>
          <w:szCs w:val="20"/>
        </w:rPr>
        <w:t xml:space="preserve">sostenibles </w:t>
      </w:r>
      <w:r w:rsidRPr="00B47483">
        <w:rPr>
          <w:rFonts w:ascii="Arial" w:eastAsia="Arial" w:hAnsi="Arial" w:cs="Arial"/>
          <w:bCs/>
          <w:sz w:val="20"/>
          <w:szCs w:val="20"/>
        </w:rPr>
        <w:t>y adopten códigos de conducta pertinentes para la cadena de suministro</w:t>
      </w:r>
      <w:r w:rsidR="003F0B8F" w:rsidRPr="00B47483">
        <w:rPr>
          <w:rFonts w:ascii="Arial" w:eastAsia="Arial" w:hAnsi="Arial" w:cs="Arial"/>
          <w:bCs/>
          <w:sz w:val="20"/>
          <w:szCs w:val="20"/>
        </w:rPr>
        <w:t>; y</w:t>
      </w:r>
    </w:p>
    <w:p w14:paraId="367FD77E" w14:textId="77777777" w:rsidR="003F0B8F" w:rsidRPr="00B47483" w:rsidRDefault="003F0B8F" w:rsidP="00B905BD">
      <w:pPr>
        <w:spacing w:after="0" w:line="240" w:lineRule="auto"/>
        <w:rPr>
          <w:rFonts w:ascii="Arial" w:eastAsia="Arial" w:hAnsi="Arial" w:cs="Arial"/>
          <w:bCs/>
          <w:sz w:val="20"/>
          <w:szCs w:val="20"/>
        </w:rPr>
      </w:pPr>
    </w:p>
    <w:p w14:paraId="05F61CF5" w14:textId="3F96F427" w:rsidR="00B905BD" w:rsidRPr="00B47483" w:rsidRDefault="00B905BD" w:rsidP="00B905BD">
      <w:pPr>
        <w:spacing w:after="0" w:line="240" w:lineRule="auto"/>
        <w:rPr>
          <w:rFonts w:ascii="Arial" w:eastAsia="Arial" w:hAnsi="Arial" w:cs="Arial"/>
          <w:bCs/>
          <w:sz w:val="20"/>
          <w:szCs w:val="20"/>
        </w:rPr>
      </w:pPr>
      <w:r w:rsidRPr="00B47483">
        <w:rPr>
          <w:rFonts w:ascii="Arial" w:eastAsia="Arial" w:hAnsi="Arial" w:cs="Arial"/>
          <w:bCs/>
          <w:sz w:val="20"/>
          <w:szCs w:val="20"/>
        </w:rPr>
        <w:t xml:space="preserve">c. </w:t>
      </w:r>
      <w:r w:rsidR="0009379E" w:rsidRPr="00B47483">
        <w:rPr>
          <w:rFonts w:ascii="Arial" w:eastAsia="Arial" w:hAnsi="Arial" w:cs="Arial"/>
          <w:bCs/>
          <w:sz w:val="20"/>
          <w:szCs w:val="20"/>
        </w:rPr>
        <w:t>mejoren</w:t>
      </w:r>
      <w:r w:rsidRPr="00B47483">
        <w:rPr>
          <w:rFonts w:ascii="Arial" w:eastAsia="Arial" w:hAnsi="Arial" w:cs="Arial"/>
          <w:bCs/>
          <w:sz w:val="20"/>
          <w:szCs w:val="20"/>
        </w:rPr>
        <w:t xml:space="preserve"> la trazabilidad para garantizar que no contribuyen a la conversión y la degradación</w:t>
      </w:r>
      <w:r w:rsidR="0009379E" w:rsidRPr="00B47483">
        <w:rPr>
          <w:rFonts w:ascii="Arial" w:eastAsia="Arial" w:hAnsi="Arial" w:cs="Arial"/>
          <w:bCs/>
          <w:sz w:val="20"/>
          <w:szCs w:val="20"/>
        </w:rPr>
        <w:t>.</w:t>
      </w:r>
    </w:p>
    <w:p w14:paraId="4DC1979A" w14:textId="77777777" w:rsidR="00B905BD" w:rsidRPr="00B47483" w:rsidRDefault="00B905BD" w:rsidP="00615AB8">
      <w:pPr>
        <w:spacing w:after="0" w:line="240" w:lineRule="auto"/>
        <w:rPr>
          <w:rFonts w:ascii="Arial" w:hAnsi="Arial"/>
          <w:bCs/>
          <w:sz w:val="20"/>
        </w:rPr>
      </w:pPr>
    </w:p>
    <w:p w14:paraId="16E1DC6B" w14:textId="77777777" w:rsidR="00B905BD" w:rsidRPr="00B47483" w:rsidRDefault="00B905BD" w:rsidP="00B905BD">
      <w:pPr>
        <w:spacing w:after="0" w:line="240" w:lineRule="auto"/>
        <w:rPr>
          <w:rFonts w:ascii="Arial" w:eastAsia="Arial" w:hAnsi="Arial" w:cs="Arial"/>
          <w:bCs/>
          <w:sz w:val="20"/>
          <w:szCs w:val="20"/>
        </w:rPr>
      </w:pPr>
    </w:p>
    <w:sectPr w:rsidR="00B905BD" w:rsidRPr="00B47483" w:rsidSect="00FF4CC9">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29C1528"/>
    <w:rsid w:val="000046C9"/>
    <w:rsid w:val="0009379E"/>
    <w:rsid w:val="000C32DB"/>
    <w:rsid w:val="000D39AC"/>
    <w:rsid w:val="0011642C"/>
    <w:rsid w:val="001517F7"/>
    <w:rsid w:val="00162A11"/>
    <w:rsid w:val="001643C3"/>
    <w:rsid w:val="0019731B"/>
    <w:rsid w:val="001A1C08"/>
    <w:rsid w:val="001A7625"/>
    <w:rsid w:val="001E74CC"/>
    <w:rsid w:val="00216BD7"/>
    <w:rsid w:val="00225BD5"/>
    <w:rsid w:val="00275F59"/>
    <w:rsid w:val="002A2D16"/>
    <w:rsid w:val="00397A15"/>
    <w:rsid w:val="003E6A4B"/>
    <w:rsid w:val="003F0B8F"/>
    <w:rsid w:val="0047717A"/>
    <w:rsid w:val="004A517A"/>
    <w:rsid w:val="004A54F8"/>
    <w:rsid w:val="004C0231"/>
    <w:rsid w:val="005550D3"/>
    <w:rsid w:val="005640F9"/>
    <w:rsid w:val="00573D94"/>
    <w:rsid w:val="00580777"/>
    <w:rsid w:val="00615AB8"/>
    <w:rsid w:val="0063205A"/>
    <w:rsid w:val="006C6CAC"/>
    <w:rsid w:val="00790D9B"/>
    <w:rsid w:val="007D367B"/>
    <w:rsid w:val="008763FC"/>
    <w:rsid w:val="00884AF5"/>
    <w:rsid w:val="008E6BD6"/>
    <w:rsid w:val="00973F28"/>
    <w:rsid w:val="009C4C97"/>
    <w:rsid w:val="009E3DFD"/>
    <w:rsid w:val="00A522C8"/>
    <w:rsid w:val="00B47483"/>
    <w:rsid w:val="00B63BE7"/>
    <w:rsid w:val="00B905BD"/>
    <w:rsid w:val="00BF4335"/>
    <w:rsid w:val="00D21FD6"/>
    <w:rsid w:val="00D64F8B"/>
    <w:rsid w:val="00DB593F"/>
    <w:rsid w:val="00E6581C"/>
    <w:rsid w:val="00F31201"/>
    <w:rsid w:val="00F31524"/>
    <w:rsid w:val="00FB058B"/>
    <w:rsid w:val="00FF4CC9"/>
    <w:rsid w:val="01BCB145"/>
    <w:rsid w:val="0BADC3BC"/>
    <w:rsid w:val="2C25E831"/>
    <w:rsid w:val="429C1528"/>
    <w:rsid w:val="4B45BF91"/>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16458"/>
  <w15:docId w15:val="{A238C137-3757-49C8-B9F2-236FCF2E2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s-E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6BD7"/>
  </w:style>
  <w:style w:type="paragraph" w:styleId="Heading1">
    <w:name w:val="heading 1"/>
    <w:basedOn w:val="Normal"/>
    <w:next w:val="Normal"/>
    <w:link w:val="Heading1Char"/>
    <w:uiPriority w:val="9"/>
    <w:qFormat/>
    <w:rsid w:val="00216B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16B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16B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16B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16B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216B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216B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216B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216B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6B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16B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16B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16B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216BD7"/>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216B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216BD7"/>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216B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216BD7"/>
    <w:rPr>
      <w:rFonts w:eastAsiaTheme="majorEastAsia" w:cstheme="majorBidi"/>
      <w:color w:val="272727" w:themeColor="text1" w:themeTint="D8"/>
    </w:rPr>
  </w:style>
  <w:style w:type="character" w:customStyle="1" w:styleId="TitleChar">
    <w:name w:val="Title Char"/>
    <w:basedOn w:val="DefaultParagraphFont"/>
    <w:link w:val="Title"/>
    <w:uiPriority w:val="10"/>
    <w:rsid w:val="00216BD7"/>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rsid w:val="00216B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216BD7"/>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rsid w:val="00216BD7"/>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sid w:val="00216BD7"/>
    <w:rPr>
      <w:i/>
      <w:iCs/>
      <w:color w:val="0F4761" w:themeColor="accent1" w:themeShade="BF"/>
    </w:rPr>
  </w:style>
  <w:style w:type="character" w:customStyle="1" w:styleId="QuoteChar">
    <w:name w:val="Quote Char"/>
    <w:basedOn w:val="DefaultParagraphFont"/>
    <w:link w:val="Quote"/>
    <w:uiPriority w:val="29"/>
    <w:rsid w:val="00216BD7"/>
    <w:rPr>
      <w:i/>
      <w:iCs/>
      <w:color w:val="404040" w:themeColor="text1" w:themeTint="BF"/>
    </w:rPr>
  </w:style>
  <w:style w:type="paragraph" w:styleId="Quote">
    <w:name w:val="Quote"/>
    <w:basedOn w:val="Normal"/>
    <w:next w:val="Normal"/>
    <w:link w:val="QuoteChar"/>
    <w:uiPriority w:val="29"/>
    <w:qFormat/>
    <w:rsid w:val="00216BD7"/>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sid w:val="00216BD7"/>
    <w:rPr>
      <w:i/>
      <w:iCs/>
      <w:color w:val="0F4761" w:themeColor="accent1" w:themeShade="BF"/>
    </w:rPr>
  </w:style>
  <w:style w:type="paragraph" w:styleId="IntenseQuote">
    <w:name w:val="Intense Quote"/>
    <w:basedOn w:val="Normal"/>
    <w:next w:val="Normal"/>
    <w:link w:val="IntenseQuoteChar"/>
    <w:uiPriority w:val="30"/>
    <w:qFormat/>
    <w:rsid w:val="00216B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sid w:val="00216BD7"/>
    <w:rPr>
      <w:b/>
      <w:bCs/>
      <w:smallCaps/>
      <w:color w:val="0F4761" w:themeColor="accent1" w:themeShade="BF"/>
      <w:spacing w:val="5"/>
    </w:rPr>
  </w:style>
  <w:style w:type="paragraph" w:styleId="Revision">
    <w:name w:val="Revision"/>
    <w:hidden/>
    <w:uiPriority w:val="99"/>
    <w:semiHidden/>
    <w:rsid w:val="005550D3"/>
    <w:pPr>
      <w:spacing w:after="0" w:line="240" w:lineRule="auto"/>
    </w:pPr>
  </w:style>
  <w:style w:type="character" w:styleId="CommentReference">
    <w:name w:val="annotation reference"/>
    <w:basedOn w:val="DefaultParagraphFont"/>
    <w:uiPriority w:val="99"/>
    <w:semiHidden/>
    <w:unhideWhenUsed/>
    <w:rsid w:val="00A522C8"/>
    <w:rPr>
      <w:sz w:val="16"/>
      <w:szCs w:val="16"/>
    </w:rPr>
  </w:style>
  <w:style w:type="paragraph" w:styleId="CommentText">
    <w:name w:val="annotation text"/>
    <w:basedOn w:val="Normal"/>
    <w:link w:val="CommentTextChar"/>
    <w:uiPriority w:val="99"/>
    <w:semiHidden/>
    <w:unhideWhenUsed/>
    <w:rsid w:val="00A522C8"/>
    <w:pPr>
      <w:spacing w:line="240" w:lineRule="auto"/>
    </w:pPr>
    <w:rPr>
      <w:sz w:val="20"/>
      <w:szCs w:val="20"/>
    </w:rPr>
  </w:style>
  <w:style w:type="character" w:customStyle="1" w:styleId="CommentTextChar">
    <w:name w:val="Comment Text Char"/>
    <w:basedOn w:val="DefaultParagraphFont"/>
    <w:link w:val="CommentText"/>
    <w:uiPriority w:val="99"/>
    <w:semiHidden/>
    <w:rsid w:val="00A522C8"/>
    <w:rPr>
      <w:sz w:val="20"/>
      <w:szCs w:val="20"/>
    </w:rPr>
  </w:style>
  <w:style w:type="paragraph" w:styleId="CommentSubject">
    <w:name w:val="annotation subject"/>
    <w:basedOn w:val="CommentText"/>
    <w:next w:val="CommentText"/>
    <w:link w:val="CommentSubjectChar"/>
    <w:uiPriority w:val="99"/>
    <w:semiHidden/>
    <w:unhideWhenUsed/>
    <w:rsid w:val="00A522C8"/>
    <w:rPr>
      <w:b/>
      <w:bCs/>
    </w:rPr>
  </w:style>
  <w:style w:type="character" w:customStyle="1" w:styleId="CommentSubjectChar">
    <w:name w:val="Comment Subject Char"/>
    <w:basedOn w:val="CommentTextChar"/>
    <w:link w:val="CommentSubject"/>
    <w:uiPriority w:val="99"/>
    <w:semiHidden/>
    <w:rsid w:val="00A522C8"/>
    <w:rPr>
      <w:b/>
      <w:bCs/>
      <w:sz w:val="20"/>
      <w:szCs w:val="20"/>
    </w:rPr>
  </w:style>
  <w:style w:type="paragraph" w:styleId="BalloonText">
    <w:name w:val="Balloon Text"/>
    <w:basedOn w:val="Normal"/>
    <w:link w:val="BalloonTextChar"/>
    <w:uiPriority w:val="99"/>
    <w:semiHidden/>
    <w:unhideWhenUsed/>
    <w:rsid w:val="00B905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05B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5058081">
      <w:bodyDiv w:val="1"/>
      <w:marLeft w:val="0"/>
      <w:marRight w:val="0"/>
      <w:marTop w:val="0"/>
      <w:marBottom w:val="0"/>
      <w:divBdr>
        <w:top w:val="none" w:sz="0" w:space="0" w:color="auto"/>
        <w:left w:val="none" w:sz="0" w:space="0" w:color="auto"/>
        <w:bottom w:val="none" w:sz="0" w:space="0" w:color="auto"/>
        <w:right w:val="none" w:sz="0" w:space="0" w:color="auto"/>
      </w:divBdr>
    </w:div>
    <w:div w:id="1782067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D63217-D1B2-480C-8A5A-22B2CB498E90}">
  <ds:schemaRefs>
    <ds:schemaRef ds:uri="http://schemas.microsoft.com/sharepoint/v3/contenttype/forms"/>
  </ds:schemaRefs>
</ds:datastoreItem>
</file>

<file path=customXml/itemProps2.xml><?xml version="1.0" encoding="utf-8"?>
<ds:datastoreItem xmlns:ds="http://schemas.openxmlformats.org/officeDocument/2006/customXml" ds:itemID="{FBAFEFDB-5D06-412E-8168-6D670514B5D5}">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C0971A14-D96B-4C8A-99DC-74D889E43C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868</Words>
  <Characters>4952</Characters>
  <Application>Microsoft Office Word</Application>
  <DocSecurity>0</DocSecurity>
  <Lines>41</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5809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ANNAYEV Tavus</cp:lastModifiedBy>
  <cp:revision>4</cp:revision>
  <dcterms:created xsi:type="dcterms:W3CDTF">2025-07-16T08:19:00Z</dcterms:created>
  <dcterms:modified xsi:type="dcterms:W3CDTF">2025-11-03T10:41:00Z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